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259CC" w14:textId="5EA1D83D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142875" distB="142875" distL="142875" distR="142875" simplePos="0" relativeHeight="251658240" behindDoc="0" locked="0" layoutInCell="1" allowOverlap="0" wp14:anchorId="60C11295" wp14:editId="69F2BE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885825"/>
            <wp:effectExtent l="19050" t="0" r="0" b="0"/>
            <wp:wrapSquare wrapText="bothSides"/>
            <wp:docPr id="2" name="Рисунок 2" descr="http://www.med-prof.ru/_events/photo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-prof.ru/_events/photo2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7B97D0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Под хронической обструктивной болезнью легких (ХОБЛ) в настоящее время понимают прогрессирующее заболевание, характеризующееся воспалительным компонентом, нарушением бронхиальной проходимости на уровне дистальных бронхов и структурными изменениями в легочной ткани и сосудах. Хроническую обструктивную болезнь сегодня выделяют как самостоятельное заболевание легких и отграничивают от ряда хронических процессов дыхательной системы, протекающих с обструктивным синдромом (обструктивного бронхита, вторичной эмфиземы легких, бронхиальной астмы и др.).  Согласно эпидемиологическим данным, ХОБЛ чаще поражает мужчин после 40 лет, занимает лидирующие позиции среди причин инвалидности и 4 место среди причин летальности активной трудоспособной части населения.</w:t>
      </w:r>
    </w:p>
    <w:p w14:paraId="2F7BE2F3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Среди причин, вызывающих развитие хронической обструктивной болезни легких, 90-95% отводится табакокурению. Среди прочих факторов (около 5%) выделяют производственные вредности (вдыхание вредных газов и частиц), респираторные инфекции детского возраста, сопутствующую бронхолегочную патологию, состояние экологии. У менее, чем 1% пациентов, в основе ХОБЛ лежит генетическая предрасположенность. Среди профессиональных вредностей в числе причин развития ХОБЛ лидируют контакты с кадмием и кремнием, обработкой металлов, вредная роль продуктов, образующихся при сгорании топлива. ХОБЛ является профессиональным заболеванием шахтеров, железнодорожников, строителей, контактирующих с цементом, рабочих целлюлозно-бумажной и металлургической промышленности, сельхозрабочих, занятых переработкой хлопка и зерна.</w:t>
      </w:r>
    </w:p>
    <w:p w14:paraId="3EBE5CB1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На ранних стадиях хроническая обструктивная болезнь легких протекает скрытно и не всегда выявляется вовремя. Характерная клиника разворачивается, начиная со среднетяжелой стадии ХОБЛ. Течение ХОБЛ характеризуется кашлем с мокротой и одышкой. На ранних стадиях беспокоит эпизодический кашель с выделением слизистой мокроты (до 60 мл в сутки) и одышка при интенсивных нагрузках; по мере прогрессирования тяжести заболевания кашель становится постоянным, одышка ощущается в покое. С присоединением инфекции течение ХОБЛ обостряется, характер мокроты становится гнойным, ее количество увеличивается.</w:t>
      </w:r>
    </w:p>
    <w:p w14:paraId="27F6D907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Прогрессирующее течение хронической обструктивной болезни легких может осложняться пневмонией, острой или хронической дыхательной недостаточностью, спонтанным пневмотораксом, пневмосклерозом,  застойной сердечной недостаточностью и т. д. В тяжелой и крайне тяжелой степени ХОБЛ у пациентов развиваются легочная гипертензия и легочное сердце.  Прогрессирующее течение ХОБЛ ведет к изменениям бытовой активности пациентов и снижению качества их жизни.</w:t>
      </w:r>
    </w:p>
    <w:p w14:paraId="43F0BC82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Важнейшим методом функциональной диагностики служит спирометрия, выявляющая первые признаки ХОБЛ. Цитологическое исследование мокроты у пациентов с ХОБЛ позволяет оценить характер и выраженность воспаления бронхов, исключить </w:t>
      </w:r>
      <w:proofErr w:type="spellStart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онконастороженность</w:t>
      </w:r>
      <w:proofErr w:type="spellEnd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. Клиническое исследование крови при ХОБЛ выявляет </w:t>
      </w:r>
      <w:proofErr w:type="spellStart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полицетемию</w:t>
      </w:r>
      <w:proofErr w:type="spellEnd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(увеличение количества эритроцитов, гематокрита, гемоглобина, вязкости крови) как следствие развития гипоксемии при </w:t>
      </w:r>
      <w:proofErr w:type="spellStart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бронхитическом</w:t>
      </w:r>
      <w:proofErr w:type="spellEnd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типе заболевания. При рентгенографии легких исключаются другие заболевания со сходными клиническими проявлениями. У пациентов с ХОБЛ на рентгенограмме определяется уплотнение и деформация бронхиальных стенок, эмфизематозные изменения легочной ткани.  Изменения, определяемые при на ЭКГ, характеризуются гипертрофией правых отделов сердца, свидетельствующих о развитии легочной гипертензии. Диагностическая бронхоскопия при ХОБЛ показана для дифференциальной диагностики, осмотра слизистой бронхов и оценки ее состояния, забора на анализ бронхиального секрета.</w:t>
      </w:r>
    </w:p>
    <w:p w14:paraId="057C8E56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lastRenderedPageBreak/>
        <w:t xml:space="preserve">Целями терапии хронической обструктивной болезни легких являются замедление прогрессирования </w:t>
      </w:r>
      <w:proofErr w:type="spellStart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бронхообструкции</w:t>
      </w:r>
      <w:proofErr w:type="spellEnd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и дыхательной недостаточности, снижение периодичности и тяжести обострений, улучшение качества и увеличение продолжительности жизни пациентов. Необходимым элементом комплексной терапии является устранение причины заболевания (прежде всего курения).  Лечение ХОБЛ проводится пульмонологом строго индивидуально с учетом формы и стадии заболевания у конкретного пациента.</w:t>
      </w:r>
    </w:p>
    <w:p w14:paraId="166D3B2F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96852"/>
          <w:kern w:val="36"/>
          <w:sz w:val="35"/>
          <w:szCs w:val="35"/>
          <w:lang w:eastAsia="ru-RU"/>
        </w:rPr>
      </w:pPr>
      <w:r w:rsidRPr="000B6FEC">
        <w:rPr>
          <w:rFonts w:ascii="Tahoma" w:eastAsia="Times New Roman" w:hAnsi="Tahoma" w:cs="Tahoma"/>
          <w:i/>
          <w:iCs/>
          <w:color w:val="496852"/>
          <w:kern w:val="36"/>
          <w:sz w:val="35"/>
          <w:lang w:eastAsia="ru-RU"/>
        </w:rPr>
        <w:t>Профилактика ХОБЛ</w:t>
      </w:r>
    </w:p>
    <w:p w14:paraId="7784278D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Главной профилактикой хронической обструктивной болезни легких (ХОБЛ) является отказ от курения. ХОБЛ может возникнуть и у людей, работающих на вредном производстве, поэтому им следует соблюдать технику безопасности и пользоваться респираторами. Кроме того, в помещении должна быть установлена хорошая вентиляционная система. Наибольшую опасность представляют витающие в воздухе частички кремния и кадмия, а также цементная и хлопчатобумажная пыль. В группу риска также входят шахтеры, работники "горячих" цехов и швейного производства.</w:t>
      </w:r>
    </w:p>
    <w:p w14:paraId="23EE563E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Для того, чтобы не допустить развития ХОБЛ, необходимо полностью вылечивать заболевания легких и ОРВИ. Любое </w:t>
      </w:r>
      <w:proofErr w:type="spellStart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недолеченное</w:t>
      </w:r>
      <w:proofErr w:type="spellEnd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заболевание может перейти в хроническую форму и впоследствии привести к целому ряду осложнений.</w:t>
      </w:r>
    </w:p>
    <w:p w14:paraId="096F527B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ХОБЛ чаще всего называют болезнью курильщиков, так как обычно патологические процессы в легких возникают у курильщиков со стажем – людей старше сорока-пятидесяти лет. При этом болезнь может возникнуть вследствие аккумулирования нескольких неблагоприятных факторов.</w:t>
      </w:r>
    </w:p>
    <w:p w14:paraId="0EBBF6E1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Надо учесть, что ХОБЛ может развиться не только у </w:t>
      </w:r>
      <w:proofErr w:type="spellStart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никотинозависимых</w:t>
      </w:r>
      <w:proofErr w:type="spellEnd"/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 xml:space="preserve"> людей, но и у "пассивных" курильщиков, то есть у тех, кто сам не курит, но много времени проводит в прокуренном помещении, вдыхая табачный дым. К примеру, родители, которые курят при ребенке, наносят вред не только своим легким, но и "приучают" к табаку своего малыша, травмируя детскую дыхательную систему.</w:t>
      </w:r>
    </w:p>
    <w:p w14:paraId="5BFAC012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Болезнь также может развиться у людей, имеющих генетическую предрасположенность к возникновению респираторных заболеваний.</w:t>
      </w:r>
    </w:p>
    <w:p w14:paraId="3DA7646E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Вторичной профилактикой ХОБЛ является общее укрепление организма и поднятие иммунитета. В эту категорию можно отнести различные способы закаливания и физической тренировки организма. Особенно полезны будут дыхательные упражнения.</w:t>
      </w:r>
    </w:p>
    <w:p w14:paraId="59C4AD65" w14:textId="77777777" w:rsidR="000B6FEC" w:rsidRPr="000B6FEC" w:rsidRDefault="000B6FEC" w:rsidP="000B6FEC">
      <w:pPr>
        <w:shd w:val="clear" w:color="auto" w:fill="F9FFEF"/>
        <w:spacing w:before="100" w:beforeAutospacing="1" w:after="100" w:afterAutospacing="1" w:line="240" w:lineRule="auto"/>
        <w:rPr>
          <w:rFonts w:ascii="Tahoma" w:eastAsia="Times New Roman" w:hAnsi="Tahoma" w:cs="Tahoma"/>
          <w:color w:val="223924"/>
          <w:sz w:val="21"/>
          <w:szCs w:val="21"/>
          <w:lang w:eastAsia="ru-RU"/>
        </w:rPr>
      </w:pPr>
      <w:r w:rsidRPr="000B6FEC">
        <w:rPr>
          <w:rFonts w:ascii="Tahoma" w:eastAsia="Times New Roman" w:hAnsi="Tahoma" w:cs="Tahoma"/>
          <w:color w:val="223924"/>
          <w:sz w:val="21"/>
          <w:szCs w:val="21"/>
          <w:lang w:eastAsia="ru-RU"/>
        </w:rPr>
        <w:t>Отказ от курения и укрепление организма также может предупредить возможные обострения у больных ХОБЛ, в результате болезнь прогрессирует значительно медленнее, а общее состояние пациента заметно улучшается.</w:t>
      </w:r>
    </w:p>
    <w:p w14:paraId="693CE8EF" w14:textId="77777777" w:rsidR="00754574" w:rsidRDefault="00754574"/>
    <w:sectPr w:rsidR="00754574" w:rsidSect="0075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FEC"/>
    <w:rsid w:val="000B6FEC"/>
    <w:rsid w:val="00754574"/>
    <w:rsid w:val="00C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3F4C"/>
  <w15:docId w15:val="{6A34F435-D1CD-4192-BDDA-0FB0031D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4574"/>
  </w:style>
  <w:style w:type="paragraph" w:styleId="1">
    <w:name w:val="heading 1"/>
    <w:basedOn w:val="a"/>
    <w:link w:val="10"/>
    <w:uiPriority w:val="9"/>
    <w:qFormat/>
    <w:rsid w:val="000B6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Phoenix</cp:lastModifiedBy>
  <cp:revision>5</cp:revision>
  <dcterms:created xsi:type="dcterms:W3CDTF">2019-12-03T03:15:00Z</dcterms:created>
  <dcterms:modified xsi:type="dcterms:W3CDTF">2019-12-03T10:41:00Z</dcterms:modified>
</cp:coreProperties>
</file>